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3" w:rsidRPr="00247982" w:rsidRDefault="00197F16" w:rsidP="00F6133C">
      <w:pPr>
        <w:spacing w:after="120" w:line="240" w:lineRule="auto"/>
        <w:jc w:val="center"/>
        <w:rPr>
          <w:b/>
        </w:rPr>
      </w:pPr>
      <w:r w:rsidRPr="005A5363">
        <w:rPr>
          <w:b/>
        </w:rPr>
        <w:t>В</w:t>
      </w:r>
      <w:r w:rsidR="00247982">
        <w:rPr>
          <w:b/>
        </w:rPr>
        <w:t>водный септаккорд (</w:t>
      </w:r>
      <w:r w:rsidR="00247982" w:rsidRPr="00247982">
        <w:rPr>
          <w:b/>
          <w:bCs/>
        </w:rPr>
        <w:t>VII</w:t>
      </w:r>
      <w:r w:rsidR="00247982">
        <w:rPr>
          <w:b/>
          <w:bCs/>
          <w:vertAlign w:val="subscript"/>
        </w:rPr>
        <w:t>7</w:t>
      </w:r>
      <w:r w:rsidR="00247982">
        <w:rPr>
          <w:b/>
          <w:bCs/>
        </w:rPr>
        <w:t>)</w:t>
      </w:r>
    </w:p>
    <w:p w:rsidR="00197F16" w:rsidRPr="005A5363" w:rsidRDefault="00F6133C" w:rsidP="00F6133C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Ф</w:t>
      </w:r>
      <w:r w:rsidRPr="005A5363">
        <w:t>ункци</w:t>
      </w:r>
      <w:r>
        <w:t>я –</w:t>
      </w:r>
      <w:r w:rsidRPr="005A5363">
        <w:t xml:space="preserve"> </w:t>
      </w:r>
      <w:proofErr w:type="spellStart"/>
      <w:r w:rsidRPr="005A5363">
        <w:t>доминантов</w:t>
      </w:r>
      <w:r>
        <w:t>ая</w:t>
      </w:r>
      <w:proofErr w:type="spellEnd"/>
      <w:r w:rsidR="00197F16" w:rsidRPr="00F6133C">
        <w:rPr>
          <w:bCs/>
        </w:rPr>
        <w:t>.</w:t>
      </w:r>
    </w:p>
    <w:p w:rsidR="00F00B92" w:rsidRDefault="002727FC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Разновидности:</w:t>
      </w:r>
    </w:p>
    <w:p w:rsidR="00197F16" w:rsidRPr="005A5363" w:rsidRDefault="00197F16" w:rsidP="00F00B92">
      <w:pPr>
        <w:pStyle w:val="a5"/>
        <w:numPr>
          <w:ilvl w:val="0"/>
          <w:numId w:val="4"/>
        </w:numPr>
        <w:spacing w:after="0" w:line="240" w:lineRule="auto"/>
        <w:jc w:val="both"/>
      </w:pPr>
      <w:r w:rsidRPr="005A5363">
        <w:t xml:space="preserve">малый вводный септаккорд </w:t>
      </w:r>
      <w:r w:rsidR="002727FC">
        <w:t xml:space="preserve">(встречается только в </w:t>
      </w:r>
      <w:r w:rsidRPr="005A5363">
        <w:t>натурально</w:t>
      </w:r>
      <w:r w:rsidR="002727FC">
        <w:t>м</w:t>
      </w:r>
      <w:r w:rsidRPr="005A5363">
        <w:t xml:space="preserve"> мажор</w:t>
      </w:r>
      <w:r w:rsidR="002727FC">
        <w:t>е</w:t>
      </w:r>
      <w:r w:rsidR="00F00B92">
        <w:t>)</w:t>
      </w:r>
      <w:r w:rsidRPr="005A5363">
        <w:t>;</w:t>
      </w:r>
    </w:p>
    <w:p w:rsidR="00197F16" w:rsidRPr="005A5363" w:rsidRDefault="00197F16" w:rsidP="00F00B92">
      <w:pPr>
        <w:pStyle w:val="a5"/>
        <w:numPr>
          <w:ilvl w:val="0"/>
          <w:numId w:val="4"/>
        </w:numPr>
        <w:spacing w:after="0" w:line="240" w:lineRule="auto"/>
        <w:jc w:val="both"/>
      </w:pPr>
      <w:r w:rsidRPr="005A5363">
        <w:t xml:space="preserve">уменьшенный вводный септаккорд </w:t>
      </w:r>
      <w:r w:rsidR="00F00B92">
        <w:t xml:space="preserve">(встречается в </w:t>
      </w:r>
      <w:r w:rsidR="00B60A24">
        <w:t>гармониче</w:t>
      </w:r>
      <w:r w:rsidR="00B60A24">
        <w:softHyphen/>
        <w:t>ск</w:t>
      </w:r>
      <w:r w:rsidR="00F00B92" w:rsidRPr="005A5363">
        <w:t>о</w:t>
      </w:r>
      <w:r w:rsidR="00F00B92">
        <w:t>м</w:t>
      </w:r>
      <w:r w:rsidR="00F00B92" w:rsidRPr="005A5363">
        <w:t xml:space="preserve"> мажор</w:t>
      </w:r>
      <w:r w:rsidR="00F00B92">
        <w:t>е</w:t>
      </w:r>
      <w:r w:rsidR="00B60A24">
        <w:t xml:space="preserve"> и </w:t>
      </w:r>
      <w:r w:rsidR="00F00B92">
        <w:t xml:space="preserve"> </w:t>
      </w:r>
      <w:r w:rsidR="00B60A24">
        <w:t>гармониче</w:t>
      </w:r>
      <w:r w:rsidR="00B60A24">
        <w:softHyphen/>
        <w:t>ск</w:t>
      </w:r>
      <w:r w:rsidR="00B60A24" w:rsidRPr="005A5363">
        <w:t>о</w:t>
      </w:r>
      <w:r w:rsidR="00B60A24">
        <w:t>м</w:t>
      </w:r>
      <w:r w:rsidR="00B60A24" w:rsidRPr="005A5363">
        <w:t xml:space="preserve"> </w:t>
      </w:r>
      <w:r w:rsidRPr="005A5363">
        <w:t>минор</w:t>
      </w:r>
      <w:r w:rsidR="00B60A24">
        <w:t>е</w:t>
      </w:r>
      <w:r w:rsidR="00B61652">
        <w:t xml:space="preserve"> и</w:t>
      </w:r>
      <w:r w:rsidR="00B61652" w:rsidRPr="00B61652">
        <w:t xml:space="preserve"> </w:t>
      </w:r>
      <w:r w:rsidR="00B61652">
        <w:t xml:space="preserve">является универсальным аккордом, поскольку его основной вид и все обращения </w:t>
      </w:r>
      <w:proofErr w:type="spellStart"/>
      <w:r w:rsidR="00B61652" w:rsidRPr="00097871">
        <w:t>энгармонически</w:t>
      </w:r>
      <w:proofErr w:type="spellEnd"/>
      <w:r w:rsidR="00B61652" w:rsidRPr="00097871">
        <w:t xml:space="preserve"> </w:t>
      </w:r>
      <w:r w:rsidR="006B6097" w:rsidRPr="00097871">
        <w:t>равн</w:t>
      </w:r>
      <w:r w:rsidR="006B6097">
        <w:t>ы между собой</w:t>
      </w:r>
      <w:r w:rsidR="00B60A24">
        <w:t>).</w:t>
      </w:r>
    </w:p>
    <w:p w:rsidR="00197F16" w:rsidRPr="005A5363" w:rsidRDefault="001C1691" w:rsidP="001C1691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0" w:name="bookmark0"/>
      <w:r>
        <w:t>И</w:t>
      </w:r>
      <w:r w:rsidR="00197F16" w:rsidRPr="005A5363">
        <w:t>меет три обраще</w:t>
      </w:r>
      <w:r w:rsidR="00197F16" w:rsidRPr="005A5363">
        <w:softHyphen/>
        <w:t>ния:</w:t>
      </w:r>
      <w:bookmarkEnd w:id="0"/>
      <w:r>
        <w:t xml:space="preserve"> </w:t>
      </w:r>
      <w:r w:rsidRPr="001C1691">
        <w:t>VII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5</w:t>
      </w:r>
      <w:r w:rsidR="005751F3">
        <w:t xml:space="preserve">, </w:t>
      </w:r>
      <w:r w:rsidR="005751F3" w:rsidRPr="001C1691">
        <w:t>VII</w:t>
      </w:r>
      <w:r w:rsidR="005751F3">
        <w:rPr>
          <w:vertAlign w:val="superscript"/>
        </w:rPr>
        <w:t>4</w:t>
      </w:r>
      <w:r w:rsidR="005751F3">
        <w:t>/</w:t>
      </w:r>
      <w:r w:rsidR="005751F3">
        <w:rPr>
          <w:vertAlign w:val="subscript"/>
        </w:rPr>
        <w:t>3</w:t>
      </w:r>
      <w:r w:rsidR="005751F3">
        <w:t xml:space="preserve">, </w:t>
      </w:r>
      <w:r w:rsidR="00D2767E" w:rsidRPr="001C1691">
        <w:t>VII</w:t>
      </w:r>
      <w:r w:rsidR="00D2767E">
        <w:rPr>
          <w:vertAlign w:val="subscript"/>
        </w:rPr>
        <w:t>2</w:t>
      </w:r>
      <w:r w:rsidR="00D2767E">
        <w:t>.</w:t>
      </w:r>
    </w:p>
    <w:p w:rsidR="00B710C6" w:rsidRPr="00B710C6" w:rsidRDefault="00197F16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1" w:name="bookmark1"/>
      <w:r w:rsidRPr="00B710C6">
        <w:rPr>
          <w:bCs/>
        </w:rPr>
        <w:t>Приготовление</w:t>
      </w:r>
      <w:r w:rsidR="00D2767E" w:rsidRPr="00B710C6">
        <w:rPr>
          <w:bCs/>
        </w:rPr>
        <w:t>:</w:t>
      </w:r>
      <w:bookmarkEnd w:id="1"/>
    </w:p>
    <w:p w:rsidR="00077BC4" w:rsidRDefault="00B710C6" w:rsidP="00B710C6">
      <w:pPr>
        <w:pStyle w:val="a5"/>
        <w:numPr>
          <w:ilvl w:val="0"/>
          <w:numId w:val="7"/>
        </w:numPr>
        <w:spacing w:after="0" w:line="240" w:lineRule="auto"/>
        <w:jc w:val="both"/>
      </w:pPr>
      <w:r w:rsidRPr="00B710C6">
        <w:rPr>
          <w:bCs/>
        </w:rPr>
        <w:t>VII</w:t>
      </w:r>
      <w:r w:rsidRPr="00B710C6">
        <w:rPr>
          <w:bCs/>
          <w:vertAlign w:val="subscript"/>
        </w:rPr>
        <w:t>7</w:t>
      </w:r>
      <w:r>
        <w:rPr>
          <w:b/>
          <w:bCs/>
          <w:vertAlign w:val="subscript"/>
        </w:rPr>
        <w:t xml:space="preserve"> </w:t>
      </w:r>
      <w:r w:rsidR="00197F16" w:rsidRPr="005A5363">
        <w:t>появляется после тони</w:t>
      </w:r>
      <w:r w:rsidR="00077BC4">
        <w:t>ческого трезвучия и его обращений</w:t>
      </w:r>
      <w:r w:rsidR="00197F16" w:rsidRPr="005A5363">
        <w:t>;</w:t>
      </w:r>
    </w:p>
    <w:p w:rsidR="00093BB7" w:rsidRDefault="00093BB7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после </w:t>
      </w:r>
      <w:r w:rsidR="00197F16" w:rsidRPr="005A5363">
        <w:t>как</w:t>
      </w:r>
      <w:r>
        <w:t>ого</w:t>
      </w:r>
      <w:r w:rsidR="00197F16" w:rsidRPr="005A5363">
        <w:t>-либо аккорд</w:t>
      </w:r>
      <w:r>
        <w:t>а</w:t>
      </w:r>
      <w:r w:rsidR="00197F16" w:rsidRPr="005A5363">
        <w:t xml:space="preserve"> группы </w:t>
      </w:r>
      <w:r w:rsidR="00197F16" w:rsidRPr="00093BB7">
        <w:rPr>
          <w:lang w:val="en-US"/>
        </w:rPr>
        <w:t>S</w:t>
      </w:r>
      <w:r w:rsidR="00197F16" w:rsidRPr="005A5363">
        <w:t xml:space="preserve"> </w:t>
      </w:r>
      <w:r>
        <w:t>(</w:t>
      </w:r>
      <w:r w:rsidR="00197F16" w:rsidRPr="005A5363">
        <w:t>соедин</w:t>
      </w:r>
      <w:r>
        <w:t>яется</w:t>
      </w:r>
      <w:r w:rsidR="00197F16" w:rsidRPr="005A5363">
        <w:t xml:space="preserve"> </w:t>
      </w:r>
      <w:r w:rsidR="003E4778">
        <w:t>гармонически);</w:t>
      </w:r>
    </w:p>
    <w:p w:rsidR="003E4778" w:rsidRDefault="00197F16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после </w:t>
      </w:r>
      <w:r w:rsidRPr="00093BB7">
        <w:rPr>
          <w:bCs/>
          <w:lang w:val="en-US"/>
        </w:rPr>
        <w:t>D</w:t>
      </w:r>
      <w:r w:rsidRPr="00093BB7">
        <w:rPr>
          <w:bCs/>
        </w:rPr>
        <w:t xml:space="preserve">, </w:t>
      </w:r>
      <w:r w:rsidRPr="00093BB7">
        <w:rPr>
          <w:lang w:val="en-US"/>
        </w:rPr>
        <w:t>D</w:t>
      </w:r>
      <w:r w:rsidRPr="003E4778">
        <w:rPr>
          <w:vertAlign w:val="subscript"/>
        </w:rPr>
        <w:t>7</w:t>
      </w:r>
      <w:r w:rsidR="003E4778">
        <w:t>;</w:t>
      </w:r>
    </w:p>
    <w:p w:rsidR="00197F16" w:rsidRPr="005A5363" w:rsidRDefault="00197F16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реже </w:t>
      </w:r>
      <w:r w:rsidR="003E4778">
        <w:t xml:space="preserve">– </w:t>
      </w:r>
      <w:r w:rsidRPr="005A5363">
        <w:t xml:space="preserve">после </w:t>
      </w:r>
      <w:r w:rsidR="003E4778">
        <w:t xml:space="preserve">гармонии </w:t>
      </w:r>
      <w:r w:rsidRPr="00093BB7">
        <w:rPr>
          <w:lang w:val="en-US"/>
        </w:rPr>
        <w:t>VI</w:t>
      </w:r>
      <w:r w:rsidR="003E4778">
        <w:t xml:space="preserve"> ступени.</w:t>
      </w:r>
    </w:p>
    <w:p w:rsidR="00197F16" w:rsidRPr="003E4778" w:rsidRDefault="00197F16" w:rsidP="003E4778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</w:rPr>
      </w:pPr>
      <w:bookmarkStart w:id="2" w:name="bookmark2"/>
      <w:r w:rsidRPr="003E4778">
        <w:rPr>
          <w:bCs/>
        </w:rPr>
        <w:t>Разрешение в тонику</w:t>
      </w:r>
      <w:bookmarkEnd w:id="2"/>
      <w:r w:rsidR="001708AF">
        <w:rPr>
          <w:bCs/>
        </w:rPr>
        <w:t>:</w:t>
      </w:r>
    </w:p>
    <w:p w:rsidR="000F193A" w:rsidRPr="005A5363" w:rsidRDefault="001708AF" w:rsidP="000F193A">
      <w:pPr>
        <w:pStyle w:val="a5"/>
        <w:numPr>
          <w:ilvl w:val="0"/>
          <w:numId w:val="9"/>
        </w:numPr>
        <w:spacing w:after="0" w:line="240" w:lineRule="auto"/>
        <w:jc w:val="both"/>
      </w:pPr>
      <w:r>
        <w:t>к</w:t>
      </w:r>
      <w:r w:rsidR="00197F16" w:rsidRPr="005A5363">
        <w:t>ак правило</w:t>
      </w:r>
      <w:r w:rsidR="00821A26">
        <w:t xml:space="preserve"> –</w:t>
      </w:r>
      <w:r w:rsidR="00197F16" w:rsidRPr="005A5363">
        <w:t xml:space="preserve"> в тонику с удвоенной терцией</w:t>
      </w:r>
      <w:r w:rsidR="00821A26">
        <w:t xml:space="preserve"> (чтобы избежать параллельных квинт)</w:t>
      </w:r>
      <w:r w:rsidR="00197F16" w:rsidRPr="005A5363">
        <w:t xml:space="preserve">: </w:t>
      </w:r>
      <w:r w:rsidR="000F193A" w:rsidRPr="00B710C6">
        <w:rPr>
          <w:bCs/>
        </w:rPr>
        <w:t>VII</w:t>
      </w:r>
      <w:r w:rsidR="000F193A" w:rsidRPr="00B710C6">
        <w:rPr>
          <w:bCs/>
          <w:vertAlign w:val="subscript"/>
        </w:rPr>
        <w:t>7</w:t>
      </w:r>
      <w:r w:rsidR="000F193A">
        <w:rPr>
          <w:bCs/>
        </w:rPr>
        <w:t xml:space="preserve"> – в </w:t>
      </w:r>
      <w:r w:rsidR="000F193A">
        <w:rPr>
          <w:bCs/>
          <w:lang w:val="en-US"/>
        </w:rPr>
        <w:t>T</w:t>
      </w:r>
      <w:r w:rsidR="000F193A">
        <w:rPr>
          <w:bCs/>
        </w:rPr>
        <w:t xml:space="preserve">; </w:t>
      </w:r>
      <w:r w:rsidR="000F193A" w:rsidRPr="001C1691">
        <w:t>VII</w:t>
      </w:r>
      <w:r w:rsidR="000F193A">
        <w:rPr>
          <w:vertAlign w:val="superscript"/>
        </w:rPr>
        <w:t>6</w:t>
      </w:r>
      <w:r w:rsidR="000F193A">
        <w:t>/</w:t>
      </w:r>
      <w:r w:rsidR="000F193A">
        <w:rPr>
          <w:vertAlign w:val="subscript"/>
        </w:rPr>
        <w:t>5</w:t>
      </w:r>
      <w:r w:rsidR="000F193A">
        <w:t xml:space="preserve"> и </w:t>
      </w:r>
      <w:r w:rsidR="000F193A" w:rsidRPr="001C1691">
        <w:t>VII</w:t>
      </w:r>
      <w:r w:rsidR="000F193A">
        <w:rPr>
          <w:vertAlign w:val="superscript"/>
        </w:rPr>
        <w:t>4</w:t>
      </w:r>
      <w:r w:rsidR="000F193A">
        <w:t>/</w:t>
      </w:r>
      <w:r w:rsidR="000F193A">
        <w:rPr>
          <w:vertAlign w:val="subscript"/>
        </w:rPr>
        <w:t>3</w:t>
      </w:r>
      <w:r w:rsidR="000F193A">
        <w:t xml:space="preserve"> – в </w:t>
      </w:r>
      <w:r w:rsidR="000E2700">
        <w:rPr>
          <w:lang w:val="en-US"/>
        </w:rPr>
        <w:t>T</w:t>
      </w:r>
      <w:r w:rsidR="000E2700">
        <w:rPr>
          <w:vertAlign w:val="subscript"/>
        </w:rPr>
        <w:t>6</w:t>
      </w:r>
      <w:r w:rsidR="000E2700" w:rsidRPr="000E2700">
        <w:t>;</w:t>
      </w:r>
      <w:r w:rsidR="000E2700">
        <w:t xml:space="preserve"> </w:t>
      </w:r>
      <w:r w:rsidR="000E2700" w:rsidRPr="005A5363">
        <w:t xml:space="preserve">малоупотребительный </w:t>
      </w:r>
      <w:r w:rsidR="000E2700" w:rsidRPr="001C1691">
        <w:t>VII</w:t>
      </w:r>
      <w:r w:rsidR="000E2700">
        <w:rPr>
          <w:vertAlign w:val="subscript"/>
        </w:rPr>
        <w:t>2</w:t>
      </w:r>
      <w:r w:rsidR="000E2700">
        <w:t xml:space="preserve"> – </w:t>
      </w:r>
      <w:r w:rsidR="000E2700" w:rsidRPr="005A5363">
        <w:t>в</w:t>
      </w:r>
      <w:r w:rsidR="00BE6254" w:rsidRPr="00BE6254">
        <w:t xml:space="preserve"> Т</w:t>
      </w:r>
      <w:proofErr w:type="gramStart"/>
      <w:r w:rsidR="00BE6254" w:rsidRPr="00BE6254">
        <w:rPr>
          <w:vertAlign w:val="superscript"/>
        </w:rPr>
        <w:t>6</w:t>
      </w:r>
      <w:proofErr w:type="gramEnd"/>
      <w:r w:rsidR="00BE6254">
        <w:t>/</w:t>
      </w:r>
      <w:r w:rsidR="00BE6254" w:rsidRPr="00BE6254">
        <w:rPr>
          <w:vertAlign w:val="subscript"/>
        </w:rPr>
        <w:t>4</w:t>
      </w:r>
      <w:r w:rsidR="00BE6254">
        <w:t xml:space="preserve"> (</w:t>
      </w:r>
      <w:r w:rsidR="00BE6254" w:rsidRPr="005A5363">
        <w:t>проходящий</w:t>
      </w:r>
      <w:r w:rsidR="00BE6254">
        <w:t xml:space="preserve"> </w:t>
      </w:r>
      <w:r w:rsidR="00BE6254" w:rsidRPr="005A5363">
        <w:t>или</w:t>
      </w:r>
      <w:r w:rsidR="00BE6254">
        <w:t xml:space="preserve"> очень редко – </w:t>
      </w:r>
      <w:proofErr w:type="spellStart"/>
      <w:r w:rsidR="00BE6254">
        <w:t>кадансовый</w:t>
      </w:r>
      <w:proofErr w:type="spellEnd"/>
      <w:r w:rsidR="00BE6254">
        <w:t>).</w:t>
      </w:r>
    </w:p>
    <w:p w:rsidR="00197F16" w:rsidRPr="005A5363" w:rsidRDefault="00197F16" w:rsidP="008F6DBE">
      <w:pPr>
        <w:pStyle w:val="a5"/>
        <w:numPr>
          <w:ilvl w:val="0"/>
          <w:numId w:val="9"/>
        </w:numPr>
        <w:spacing w:after="0" w:line="240" w:lineRule="auto"/>
        <w:jc w:val="both"/>
      </w:pPr>
      <w:r w:rsidRPr="005A5363">
        <w:t xml:space="preserve">удвоение </w:t>
      </w:r>
      <w:r w:rsidR="008F6DBE" w:rsidRPr="005A5363">
        <w:t>терци</w:t>
      </w:r>
      <w:r w:rsidR="008F6DBE">
        <w:t>и можно избежать</w:t>
      </w:r>
      <w:r w:rsidRPr="005A5363">
        <w:t xml:space="preserve">, если параллельные </w:t>
      </w:r>
      <w:r w:rsidR="002D6F28" w:rsidRPr="005A5363">
        <w:t xml:space="preserve">квинты </w:t>
      </w:r>
      <w:r w:rsidR="002D6F28">
        <w:t xml:space="preserve">будут заменены на </w:t>
      </w:r>
      <w:r w:rsidRPr="005A5363">
        <w:t>кварты</w:t>
      </w:r>
      <w:r w:rsidR="002D6F28">
        <w:t>.</w:t>
      </w:r>
    </w:p>
    <w:p w:rsidR="008D0E50" w:rsidRPr="008D0E50" w:rsidRDefault="008D0E50" w:rsidP="008D0E50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3" w:name="bookmark3"/>
      <w:r>
        <w:rPr>
          <w:bCs/>
        </w:rPr>
        <w:t xml:space="preserve">Переход в </w:t>
      </w:r>
      <w:bookmarkEnd w:id="3"/>
      <w:r>
        <w:rPr>
          <w:bCs/>
          <w:lang w:val="en-US"/>
        </w:rPr>
        <w:t>D</w:t>
      </w:r>
      <w:r>
        <w:rPr>
          <w:bCs/>
          <w:vertAlign w:val="subscript"/>
        </w:rPr>
        <w:t>7</w:t>
      </w:r>
      <w:r>
        <w:rPr>
          <w:bCs/>
        </w:rPr>
        <w:t>:</w:t>
      </w:r>
    </w:p>
    <w:p w:rsidR="008D0E50" w:rsidRPr="005A5363" w:rsidRDefault="008D0E50" w:rsidP="008D0E50">
      <w:pPr>
        <w:pStyle w:val="a5"/>
        <w:numPr>
          <w:ilvl w:val="0"/>
          <w:numId w:val="11"/>
        </w:numPr>
        <w:spacing w:after="0" w:line="240" w:lineRule="auto"/>
        <w:jc w:val="both"/>
      </w:pPr>
      <w:r>
        <w:t xml:space="preserve">Соединение гармоническое: 3 </w:t>
      </w:r>
      <w:proofErr w:type="gramStart"/>
      <w:r>
        <w:t>общих</w:t>
      </w:r>
      <w:proofErr w:type="gramEnd"/>
      <w:r>
        <w:t xml:space="preserve"> звука остаются на месте;</w:t>
      </w:r>
    </w:p>
    <w:p w:rsidR="00197F16" w:rsidRPr="005A5363" w:rsidRDefault="006C5AE5" w:rsidP="006C5AE5">
      <w:pPr>
        <w:pStyle w:val="a5"/>
        <w:numPr>
          <w:ilvl w:val="0"/>
          <w:numId w:val="11"/>
        </w:numPr>
        <w:spacing w:after="0" w:line="240" w:lineRule="auto"/>
        <w:jc w:val="both"/>
      </w:pPr>
      <w:r>
        <w:t>Схема перехода:</w:t>
      </w:r>
    </w:p>
    <w:p w:rsidR="00197F16" w:rsidRPr="005A5363" w:rsidRDefault="003E3EA1" w:rsidP="002727F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2257425" cy="2324100"/>
            <wp:effectExtent l="19050" t="0" r="9525" b="0"/>
            <wp:wrapTight wrapText="bothSides">
              <wp:wrapPolygon edited="0">
                <wp:start x="-182" y="0"/>
                <wp:lineTo x="-182" y="21423"/>
                <wp:lineTo x="21691" y="21423"/>
                <wp:lineTo x="21691" y="0"/>
                <wp:lineTo x="-18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93" w:rsidRDefault="00AB1893" w:rsidP="003E3EA1">
      <w:pPr>
        <w:spacing w:after="0" w:line="240" w:lineRule="auto"/>
        <w:jc w:val="both"/>
        <w:rPr>
          <w:bCs/>
        </w:rPr>
      </w:pPr>
      <w:bookmarkStart w:id="4" w:name="bookmark4"/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197F16" w:rsidRPr="00AB1893" w:rsidRDefault="00197F16" w:rsidP="00AB1893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AB1893">
        <w:rPr>
          <w:bCs/>
        </w:rPr>
        <w:t xml:space="preserve">Проходящие </w:t>
      </w:r>
      <w:bookmarkEnd w:id="4"/>
      <w:r w:rsidR="00AB1893" w:rsidRPr="00AB1893">
        <w:rPr>
          <w:bCs/>
        </w:rPr>
        <w:t>обороты:</w:t>
      </w:r>
    </w:p>
    <w:p w:rsidR="00A43166" w:rsidRDefault="00A92F92" w:rsidP="00A92F92">
      <w:pPr>
        <w:pStyle w:val="a5"/>
        <w:numPr>
          <w:ilvl w:val="0"/>
          <w:numId w:val="12"/>
        </w:numPr>
        <w:spacing w:after="0" w:line="240" w:lineRule="auto"/>
        <w:jc w:val="both"/>
      </w:pPr>
      <w:r>
        <w:t>м</w:t>
      </w:r>
      <w:r w:rsidR="00197F16" w:rsidRPr="005A5363">
        <w:t xml:space="preserve">ежду </w:t>
      </w:r>
      <w:r>
        <w:t>обращениями</w:t>
      </w:r>
      <w:r w:rsidR="00197F16" w:rsidRPr="005A5363">
        <w:t xml:space="preserve"> </w:t>
      </w:r>
      <w:r w:rsidR="00197F16" w:rsidRPr="00A92F92">
        <w:rPr>
          <w:lang w:val="en-US"/>
        </w:rPr>
        <w:t>VII</w:t>
      </w:r>
      <w:r w:rsidR="00197F16" w:rsidRPr="00A92F92">
        <w:rPr>
          <w:vertAlign w:val="subscript"/>
        </w:rPr>
        <w:t>7</w:t>
      </w:r>
      <w:r w:rsidR="00197F16" w:rsidRPr="005A5363">
        <w:t xml:space="preserve"> могут </w:t>
      </w:r>
      <w:r w:rsidR="006B593D">
        <w:t>быть</w:t>
      </w:r>
      <w:r w:rsidR="00197F16" w:rsidRPr="005A5363">
        <w:t xml:space="preserve"> проход</w:t>
      </w:r>
      <w:r w:rsidR="00AE71A9">
        <w:t>ящие аккорды всех трех функций –</w:t>
      </w:r>
    </w:p>
    <w:p w:rsidR="00197F16" w:rsidRPr="00DC16F1" w:rsidRDefault="00B87602" w:rsidP="00DC16F1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0.15pt;margin-top:17.95pt;width:77.25pt;height:0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62.15pt;margin-top:17.95pt;width:77.25pt;height:0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69.9pt;margin-top:17.95pt;width:77.25pt;height:0;z-index:251659264" o:connectortype="straight">
            <v:stroke startarrow="block" endarrow="block"/>
          </v:shape>
        </w:pict>
      </w:r>
      <w:r w:rsidR="00323039" w:rsidRPr="00DC16F1">
        <w:rPr>
          <w:bCs/>
          <w:lang w:val="en-US"/>
        </w:rPr>
        <w:t>VII</w:t>
      </w:r>
      <w:r w:rsidR="00323039" w:rsidRPr="00DC16F1">
        <w:rPr>
          <w:bCs/>
          <w:vertAlign w:val="subscript"/>
          <w:lang w:val="en-US"/>
        </w:rPr>
        <w:t>7</w:t>
      </w:r>
      <w:r w:rsidR="00323039" w:rsidRPr="00DC16F1">
        <w:rPr>
          <w:bCs/>
          <w:lang w:val="en-US"/>
        </w:rPr>
        <w:t>–S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4</w:t>
      </w:r>
      <w:r w:rsidR="00323039" w:rsidRPr="00DC16F1">
        <w:rPr>
          <w:lang w:val="en-US"/>
        </w:rPr>
        <w:t>–VII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5</w:t>
      </w:r>
      <w:r w:rsidR="00323039" w:rsidRPr="00DC16F1">
        <w:rPr>
          <w:lang w:val="en-US"/>
        </w:rPr>
        <w:t xml:space="preserve">; </w:t>
      </w:r>
      <w:r w:rsidR="000A57D6" w:rsidRPr="00DC16F1">
        <w:rPr>
          <w:lang w:val="en-US"/>
        </w:rPr>
        <w:t>VII</w:t>
      </w:r>
      <w:r w:rsidR="000A57D6" w:rsidRPr="00DC16F1">
        <w:rPr>
          <w:vertAlign w:val="superscript"/>
          <w:lang w:val="en-US"/>
        </w:rPr>
        <w:t>6</w:t>
      </w:r>
      <w:r w:rsidR="000A57D6" w:rsidRPr="00DC16F1">
        <w:rPr>
          <w:lang w:val="en-US"/>
        </w:rPr>
        <w:t>/</w:t>
      </w:r>
      <w:r w:rsidR="000A57D6" w:rsidRPr="00DC16F1">
        <w:rPr>
          <w:vertAlign w:val="subscript"/>
          <w:lang w:val="en-US"/>
        </w:rPr>
        <w:t>5</w:t>
      </w:r>
      <w:r w:rsidR="00AE71A9" w:rsidRPr="00DC16F1">
        <w:rPr>
          <w:lang w:val="en-US"/>
        </w:rPr>
        <w:t>–D–</w:t>
      </w:r>
      <w:r w:rsidR="00510DB4" w:rsidRPr="00DC16F1">
        <w:rPr>
          <w:lang w:val="en-US"/>
        </w:rPr>
        <w:t>VII</w:t>
      </w:r>
      <w:r w:rsidR="00510DB4" w:rsidRPr="00DC16F1">
        <w:rPr>
          <w:vertAlign w:val="superscript"/>
          <w:lang w:val="en-US"/>
        </w:rPr>
        <w:t>4</w:t>
      </w:r>
      <w:r w:rsidR="00510DB4" w:rsidRPr="00DC16F1">
        <w:rPr>
          <w:lang w:val="en-US"/>
        </w:rPr>
        <w:t>/</w:t>
      </w:r>
      <w:r w:rsidR="00510DB4" w:rsidRPr="00DC16F1">
        <w:rPr>
          <w:vertAlign w:val="subscript"/>
          <w:lang w:val="en-US"/>
        </w:rPr>
        <w:t>3</w:t>
      </w:r>
      <w:r w:rsidR="00AE71A9" w:rsidRPr="00DC16F1">
        <w:rPr>
          <w:lang w:val="en-US"/>
        </w:rPr>
        <w:t>;</w:t>
      </w:r>
      <w:r w:rsidR="004007EA" w:rsidRPr="00DC16F1">
        <w:rPr>
          <w:bCs/>
          <w:lang w:val="en-US"/>
        </w:rPr>
        <w:t xml:space="preserve"> </w:t>
      </w:r>
      <w:r w:rsidR="00323039" w:rsidRPr="00DC16F1">
        <w:rPr>
          <w:lang w:val="en-US"/>
        </w:rPr>
        <w:t>VII</w:t>
      </w:r>
      <w:r w:rsidR="00323039" w:rsidRPr="00DC16F1">
        <w:rPr>
          <w:vertAlign w:val="superscript"/>
          <w:lang w:val="en-US"/>
        </w:rPr>
        <w:t>4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3</w:t>
      </w:r>
      <w:r w:rsidR="00323039" w:rsidRPr="00DC16F1">
        <w:rPr>
          <w:lang w:val="en-US"/>
        </w:rPr>
        <w:t xml:space="preserve">– </w:t>
      </w:r>
      <w:r w:rsidR="00323039" w:rsidRPr="00BE6254">
        <w:t>Т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4</w:t>
      </w:r>
      <w:r w:rsidR="00323039" w:rsidRPr="00DC16F1">
        <w:rPr>
          <w:lang w:val="en-US"/>
        </w:rPr>
        <w:t>–VII</w:t>
      </w:r>
      <w:r w:rsidR="00323039" w:rsidRPr="00DC16F1">
        <w:rPr>
          <w:vertAlign w:val="subscript"/>
          <w:lang w:val="en-US"/>
        </w:rPr>
        <w:t>2</w:t>
      </w:r>
      <w:r w:rsidR="00DC16F1" w:rsidRPr="00DC16F1">
        <w:rPr>
          <w:lang w:val="en-US"/>
        </w:rPr>
        <w:t>;</w:t>
      </w:r>
    </w:p>
    <w:p w:rsidR="00DC16F1" w:rsidRDefault="00A43166" w:rsidP="00A43166">
      <w:pPr>
        <w:pStyle w:val="a5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с </w:t>
      </w:r>
      <w:r w:rsidRPr="005A5363">
        <w:t>участие</w:t>
      </w:r>
      <w:r>
        <w:t xml:space="preserve">м </w:t>
      </w:r>
      <w:r w:rsidRPr="00A92F92">
        <w:rPr>
          <w:lang w:val="en-US"/>
        </w:rPr>
        <w:t>VII</w:t>
      </w:r>
      <w:r w:rsidRPr="00A92F92">
        <w:rPr>
          <w:vertAlign w:val="subscript"/>
        </w:rPr>
        <w:t>7</w:t>
      </w:r>
      <w:r w:rsidRPr="005A5363">
        <w:t xml:space="preserve"> </w:t>
      </w:r>
      <w:r>
        <w:t>и его обращений –</w:t>
      </w:r>
    </w:p>
    <w:p w:rsidR="005F418B" w:rsidRPr="00333CA0" w:rsidRDefault="002867AA" w:rsidP="005F418B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S</w:t>
      </w:r>
      <w:r w:rsidRPr="005351E4">
        <w:rPr>
          <w:vertAlign w:val="subscript"/>
          <w:lang w:val="en-US"/>
        </w:rPr>
        <w:t>6</w:t>
      </w:r>
      <w:r w:rsidRPr="005351E4">
        <w:rPr>
          <w:lang w:val="en-US"/>
        </w:rPr>
        <w:t>–</w:t>
      </w:r>
      <w:r w:rsidRPr="00BE6254">
        <w:t>Т</w:t>
      </w:r>
      <w:r w:rsidRPr="005351E4">
        <w:rPr>
          <w:vertAlign w:val="superscript"/>
          <w:lang w:val="en-US"/>
        </w:rPr>
        <w:t>6</w:t>
      </w:r>
      <w:r w:rsidRPr="005351E4">
        <w:rPr>
          <w:lang w:val="en-US"/>
        </w:rPr>
        <w:t>/</w:t>
      </w:r>
      <w:r w:rsidRPr="005351E4">
        <w:rPr>
          <w:vertAlign w:val="subscript"/>
          <w:lang w:val="en-US"/>
        </w:rPr>
        <w:t>4</w:t>
      </w:r>
      <w:r w:rsidRPr="005351E4">
        <w:rPr>
          <w:lang w:val="en-US"/>
        </w:rPr>
        <w:t>–</w:t>
      </w:r>
      <w:r w:rsidR="005F418B" w:rsidRPr="00DC16F1">
        <w:rPr>
          <w:lang w:val="en-US"/>
        </w:rPr>
        <w:t>VII</w:t>
      </w:r>
      <w:r w:rsidR="005F418B" w:rsidRPr="005351E4">
        <w:rPr>
          <w:vertAlign w:val="superscript"/>
          <w:lang w:val="en-US"/>
        </w:rPr>
        <w:t>4</w:t>
      </w:r>
      <w:r w:rsidR="005F418B" w:rsidRPr="005351E4">
        <w:rPr>
          <w:lang w:val="en-US"/>
        </w:rPr>
        <w:t>/</w:t>
      </w:r>
      <w:r w:rsidR="005F418B" w:rsidRPr="005351E4">
        <w:rPr>
          <w:vertAlign w:val="subscript"/>
          <w:lang w:val="en-US"/>
        </w:rPr>
        <w:t>3</w:t>
      </w:r>
      <w:r w:rsidR="00900899" w:rsidRPr="005351E4">
        <w:rPr>
          <w:lang w:val="en-US"/>
        </w:rPr>
        <w:t xml:space="preserve">; </w:t>
      </w:r>
      <w:r>
        <w:rPr>
          <w:lang w:val="en-US"/>
        </w:rPr>
        <w:t>II</w:t>
      </w:r>
      <w:r w:rsidRPr="005351E4">
        <w:rPr>
          <w:vertAlign w:val="subscript"/>
          <w:lang w:val="en-US"/>
        </w:rPr>
        <w:t>6</w:t>
      </w:r>
      <w:r w:rsidRPr="005351E4">
        <w:rPr>
          <w:lang w:val="en-US"/>
        </w:rPr>
        <w:t>–</w:t>
      </w:r>
      <w:r w:rsidR="005351E4" w:rsidRPr="00BE6254">
        <w:t>Т</w:t>
      </w:r>
      <w:r w:rsidR="005351E4" w:rsidRPr="005351E4">
        <w:rPr>
          <w:vertAlign w:val="subscript"/>
          <w:lang w:val="en-US"/>
        </w:rPr>
        <w:t>6</w:t>
      </w:r>
      <w:r w:rsidR="005351E4" w:rsidRPr="005351E4">
        <w:rPr>
          <w:lang w:val="en-US"/>
        </w:rPr>
        <w:t>–</w:t>
      </w:r>
      <w:r w:rsidR="005351E4" w:rsidRPr="00DC16F1">
        <w:rPr>
          <w:lang w:val="en-US"/>
        </w:rPr>
        <w:t>VII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5</w:t>
      </w:r>
      <w:r w:rsidR="005351E4" w:rsidRPr="00DC16F1">
        <w:rPr>
          <w:lang w:val="en-US"/>
        </w:rPr>
        <w:t>;</w:t>
      </w:r>
      <w:r w:rsidR="005351E4" w:rsidRPr="005351E4">
        <w:rPr>
          <w:lang w:val="en-US"/>
        </w:rPr>
        <w:t xml:space="preserve"> </w:t>
      </w:r>
      <w:r w:rsidR="005351E4" w:rsidRPr="00DC16F1">
        <w:rPr>
          <w:lang w:val="en-US"/>
        </w:rPr>
        <w:t>VII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5</w:t>
      </w:r>
      <w:r w:rsidR="005351E4" w:rsidRPr="005351E4">
        <w:rPr>
          <w:lang w:val="en-US"/>
        </w:rPr>
        <w:t>–</w:t>
      </w:r>
      <w:r w:rsidR="005351E4" w:rsidRPr="00DC16F1">
        <w:rPr>
          <w:bCs/>
          <w:lang w:val="en-US"/>
        </w:rPr>
        <w:t>S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4</w:t>
      </w:r>
      <w:r w:rsidR="005351E4" w:rsidRPr="00DC16F1">
        <w:rPr>
          <w:lang w:val="en-US"/>
        </w:rPr>
        <w:t>–</w:t>
      </w:r>
      <w:r w:rsidR="00BF2B8C">
        <w:rPr>
          <w:lang w:val="en-US"/>
        </w:rPr>
        <w:t>D</w:t>
      </w:r>
      <w:r w:rsidR="00BF2B8C" w:rsidRPr="00DC16F1">
        <w:rPr>
          <w:vertAlign w:val="superscript"/>
          <w:lang w:val="en-US"/>
        </w:rPr>
        <w:t>6</w:t>
      </w:r>
      <w:r w:rsidR="00BF2B8C" w:rsidRPr="00DC16F1">
        <w:rPr>
          <w:lang w:val="en-US"/>
        </w:rPr>
        <w:t>/</w:t>
      </w:r>
      <w:r w:rsidR="00BF2B8C" w:rsidRPr="00DC16F1">
        <w:rPr>
          <w:vertAlign w:val="subscript"/>
          <w:lang w:val="en-US"/>
        </w:rPr>
        <w:t>5</w:t>
      </w:r>
      <w:r w:rsidR="00BF2B8C" w:rsidRPr="00DC16F1">
        <w:rPr>
          <w:lang w:val="en-US"/>
        </w:rPr>
        <w:t>;</w:t>
      </w:r>
      <w:r w:rsidR="00BF2B8C" w:rsidRPr="00BF2B8C">
        <w:rPr>
          <w:lang w:val="en-US"/>
        </w:rPr>
        <w:t xml:space="preserve"> </w:t>
      </w:r>
      <w:r w:rsidR="00BF2B8C" w:rsidRPr="00DC16F1">
        <w:rPr>
          <w:bCs/>
          <w:lang w:val="en-US"/>
        </w:rPr>
        <w:t>VII</w:t>
      </w:r>
      <w:r w:rsidR="00BF2B8C" w:rsidRPr="00DC16F1">
        <w:rPr>
          <w:bCs/>
          <w:vertAlign w:val="subscript"/>
          <w:lang w:val="en-US"/>
        </w:rPr>
        <w:t>7</w:t>
      </w:r>
      <w:r w:rsidR="00BF2B8C" w:rsidRPr="00DC16F1">
        <w:rPr>
          <w:bCs/>
          <w:lang w:val="en-US"/>
        </w:rPr>
        <w:t>–</w:t>
      </w:r>
      <w:r w:rsidR="00BF2B8C">
        <w:rPr>
          <w:bCs/>
          <w:lang w:val="en-US"/>
        </w:rPr>
        <w:t>T</w:t>
      </w:r>
      <w:r w:rsidR="00BF2B8C" w:rsidRPr="00BF2B8C">
        <w:rPr>
          <w:bCs/>
          <w:lang w:val="en-US"/>
        </w:rPr>
        <w:t>–</w:t>
      </w:r>
      <w:r w:rsidR="00BF2B8C">
        <w:rPr>
          <w:lang w:val="en-US"/>
        </w:rPr>
        <w:t>D</w:t>
      </w:r>
      <w:r w:rsidR="00BF2B8C" w:rsidRPr="00DC16F1">
        <w:rPr>
          <w:vertAlign w:val="superscript"/>
          <w:lang w:val="en-US"/>
        </w:rPr>
        <w:t>4</w:t>
      </w:r>
      <w:r w:rsidR="00BF2B8C" w:rsidRPr="00DC16F1">
        <w:rPr>
          <w:lang w:val="en-US"/>
        </w:rPr>
        <w:t>/</w:t>
      </w:r>
      <w:r w:rsidR="00BF2B8C" w:rsidRPr="00DC16F1">
        <w:rPr>
          <w:vertAlign w:val="subscript"/>
          <w:lang w:val="en-US"/>
        </w:rPr>
        <w:t>3</w:t>
      </w:r>
      <w:r w:rsidR="00333CA0" w:rsidRPr="00333CA0">
        <w:rPr>
          <w:lang w:val="en-US"/>
        </w:rPr>
        <w:t>.</w:t>
      </w:r>
      <w:proofErr w:type="gramEnd"/>
    </w:p>
    <w:p w:rsidR="00B8575C" w:rsidRPr="005A5363" w:rsidRDefault="00731D5D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5" w:name="bookmark5"/>
      <w:r w:rsidRPr="005A5363">
        <w:t>Бас</w:t>
      </w:r>
      <w:r w:rsidRPr="00731D5D">
        <w:rPr>
          <w:bCs/>
        </w:rPr>
        <w:t xml:space="preserve"> </w:t>
      </w:r>
      <w:bookmarkEnd w:id="5"/>
      <w:r w:rsidRPr="00731D5D">
        <w:rPr>
          <w:lang w:val="en-US"/>
        </w:rPr>
        <w:t>VII</w:t>
      </w:r>
      <w:r w:rsidRPr="00731D5D">
        <w:rPr>
          <w:vertAlign w:val="superscript"/>
        </w:rPr>
        <w:t>4</w:t>
      </w:r>
      <w:r w:rsidRPr="00731D5D">
        <w:t>/</w:t>
      </w:r>
      <w:r w:rsidRPr="00731D5D">
        <w:rPr>
          <w:vertAlign w:val="subscript"/>
        </w:rPr>
        <w:t>3</w:t>
      </w:r>
      <w:r>
        <w:t xml:space="preserve"> </w:t>
      </w:r>
      <w:r w:rsidR="00197F16" w:rsidRPr="005A5363">
        <w:t xml:space="preserve">является IV ступенью </w:t>
      </w:r>
      <w:r>
        <w:t>лада</w:t>
      </w:r>
      <w:r w:rsidR="00902FF4">
        <w:t>,</w:t>
      </w:r>
      <w:r w:rsidR="00197F16" w:rsidRPr="005A5363">
        <w:t xml:space="preserve"> представля</w:t>
      </w:r>
      <w:r w:rsidR="00902FF4">
        <w:t>я,</w:t>
      </w:r>
      <w:r w:rsidR="00197F16" w:rsidRPr="005A5363">
        <w:t xml:space="preserve"> тем самым, </w:t>
      </w:r>
      <w:r w:rsidR="00902FF4" w:rsidRPr="005A5363">
        <w:t>суб</w:t>
      </w:r>
      <w:r w:rsidR="00902FF4" w:rsidRPr="005A5363">
        <w:softHyphen/>
        <w:t>доминант</w:t>
      </w:r>
      <w:r w:rsidR="00902FF4">
        <w:t>овую функцию. Поэтому</w:t>
      </w:r>
      <w:r w:rsidR="00902FF4" w:rsidRPr="005A5363">
        <w:t xml:space="preserve"> </w:t>
      </w:r>
      <w:r w:rsidR="00902FF4" w:rsidRPr="00731D5D">
        <w:rPr>
          <w:lang w:val="en-US"/>
        </w:rPr>
        <w:t>VII</w:t>
      </w:r>
      <w:r w:rsidR="00902FF4" w:rsidRPr="00731D5D">
        <w:rPr>
          <w:vertAlign w:val="superscript"/>
        </w:rPr>
        <w:t>4</w:t>
      </w:r>
      <w:r w:rsidR="00902FF4" w:rsidRPr="00731D5D">
        <w:t>/</w:t>
      </w:r>
      <w:r w:rsidR="00902FF4" w:rsidRPr="00731D5D">
        <w:rPr>
          <w:vertAlign w:val="subscript"/>
        </w:rPr>
        <w:t>3</w:t>
      </w:r>
      <w:r w:rsidR="00902FF4">
        <w:t xml:space="preserve"> </w:t>
      </w:r>
      <w:r w:rsidR="00985D02">
        <w:t xml:space="preserve">приобретает качество </w:t>
      </w:r>
      <w:r w:rsidR="00985D02" w:rsidRPr="005A5363">
        <w:t>бифункцио</w:t>
      </w:r>
      <w:r w:rsidR="00985D02" w:rsidRPr="005A5363">
        <w:softHyphen/>
        <w:t>нально</w:t>
      </w:r>
      <w:r w:rsidR="00985D02">
        <w:t xml:space="preserve">сти, </w:t>
      </w:r>
      <w:r w:rsidR="00902FF4">
        <w:t>объединя</w:t>
      </w:r>
      <w:r w:rsidR="00985D02">
        <w:t>я</w:t>
      </w:r>
      <w:r w:rsidR="00902FF4">
        <w:t xml:space="preserve"> </w:t>
      </w:r>
      <w:r w:rsidR="00985D02">
        <w:rPr>
          <w:lang w:val="en-US"/>
        </w:rPr>
        <w:t>D</w:t>
      </w:r>
      <w:r w:rsidR="00985D02">
        <w:t xml:space="preserve"> и </w:t>
      </w:r>
      <w:r w:rsidR="00985D02">
        <w:rPr>
          <w:lang w:val="en-US"/>
        </w:rPr>
        <w:t>S</w:t>
      </w:r>
      <w:r w:rsidR="00985D02">
        <w:t xml:space="preserve"> функции</w:t>
      </w:r>
      <w:r w:rsidR="00197F16" w:rsidRPr="005A5363">
        <w:t>.</w:t>
      </w:r>
      <w:r w:rsidR="000044B4">
        <w:t xml:space="preserve"> Его типичное использование в качестве субдоминанты</w:t>
      </w:r>
      <w:r w:rsidR="00AA2513">
        <w:t xml:space="preserve"> выражается в разрешении непосредственно в тони</w:t>
      </w:r>
      <w:r w:rsidR="008F4B23">
        <w:t>ческое трезвучие</w:t>
      </w:r>
      <w:r w:rsidR="00AA2513" w:rsidRPr="00AA2513">
        <w:t xml:space="preserve"> </w:t>
      </w:r>
      <w:r w:rsidR="00AA2513" w:rsidRPr="005A5363">
        <w:t xml:space="preserve">с типичным для </w:t>
      </w:r>
      <w:proofErr w:type="spellStart"/>
      <w:r w:rsidR="00AA2513" w:rsidRPr="005A5363">
        <w:t>плагальных</w:t>
      </w:r>
      <w:proofErr w:type="spellEnd"/>
      <w:r w:rsidR="00AA2513" w:rsidRPr="005A5363">
        <w:t xml:space="preserve"> оборотов</w:t>
      </w:r>
      <w:r w:rsidR="008F4B23">
        <w:t xml:space="preserve"> кварто-квинтовым ходом баса</w:t>
      </w:r>
      <w:r w:rsidR="00AA2513">
        <w:t>:</w:t>
      </w:r>
      <w:r w:rsidR="008F4B23">
        <w:t xml:space="preserve"> </w:t>
      </w:r>
      <w:r w:rsidR="008F4B23" w:rsidRPr="00DC16F1">
        <w:rPr>
          <w:lang w:val="en-US"/>
        </w:rPr>
        <w:t>VII</w:t>
      </w:r>
      <w:r w:rsidR="008F4B23" w:rsidRPr="008F4B23">
        <w:rPr>
          <w:vertAlign w:val="superscript"/>
        </w:rPr>
        <w:t>4</w:t>
      </w:r>
      <w:r w:rsidR="008F4B23" w:rsidRPr="008F4B23">
        <w:t>/</w:t>
      </w:r>
      <w:r w:rsidR="008F4B23" w:rsidRPr="008F4B23">
        <w:rPr>
          <w:vertAlign w:val="subscript"/>
        </w:rPr>
        <w:t>3</w:t>
      </w:r>
      <w:r w:rsidR="008F4B23">
        <w:t>–</w:t>
      </w:r>
      <w:r w:rsidR="00C7516E">
        <w:rPr>
          <w:bCs/>
          <w:lang w:val="en-US"/>
        </w:rPr>
        <w:t>T</w:t>
      </w:r>
      <w:r w:rsidR="00C7516E">
        <w:rPr>
          <w:bCs/>
        </w:rPr>
        <w:t>.</w:t>
      </w:r>
    </w:p>
    <w:sectPr w:rsidR="00B8575C" w:rsidRPr="005A5363" w:rsidSect="00197F16">
      <w:pgSz w:w="11907" w:h="16840" w:code="9"/>
      <w:pgMar w:top="1440" w:right="1797" w:bottom="1440" w:left="179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1">
    <w:nsid w:val="0CF42DDC"/>
    <w:multiLevelType w:val="hybridMultilevel"/>
    <w:tmpl w:val="90B63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B3182"/>
    <w:multiLevelType w:val="hybridMultilevel"/>
    <w:tmpl w:val="DB4468D2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8CE"/>
    <w:multiLevelType w:val="hybridMultilevel"/>
    <w:tmpl w:val="A9A24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6318C"/>
    <w:multiLevelType w:val="hybridMultilevel"/>
    <w:tmpl w:val="0FB26EE2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19CD"/>
    <w:multiLevelType w:val="hybridMultilevel"/>
    <w:tmpl w:val="0A4EA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62480"/>
    <w:multiLevelType w:val="hybridMultilevel"/>
    <w:tmpl w:val="DE2C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BC7"/>
    <w:multiLevelType w:val="hybridMultilevel"/>
    <w:tmpl w:val="0CE6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81E65"/>
    <w:multiLevelType w:val="hybridMultilevel"/>
    <w:tmpl w:val="DF683DA0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2FB1"/>
    <w:multiLevelType w:val="hybridMultilevel"/>
    <w:tmpl w:val="D3A6450A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41C8B"/>
    <w:multiLevelType w:val="hybridMultilevel"/>
    <w:tmpl w:val="557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732"/>
    <w:multiLevelType w:val="hybridMultilevel"/>
    <w:tmpl w:val="A35EB744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7F16"/>
    <w:rsid w:val="000044B4"/>
    <w:rsid w:val="000061F8"/>
    <w:rsid w:val="00010B3C"/>
    <w:rsid w:val="00011690"/>
    <w:rsid w:val="00012839"/>
    <w:rsid w:val="00013879"/>
    <w:rsid w:val="00016EA2"/>
    <w:rsid w:val="000204FD"/>
    <w:rsid w:val="00024652"/>
    <w:rsid w:val="000258A5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77BC4"/>
    <w:rsid w:val="00087ABA"/>
    <w:rsid w:val="0009314E"/>
    <w:rsid w:val="00093BB7"/>
    <w:rsid w:val="0009730A"/>
    <w:rsid w:val="000975A8"/>
    <w:rsid w:val="00097871"/>
    <w:rsid w:val="000A41CF"/>
    <w:rsid w:val="000A57D6"/>
    <w:rsid w:val="000A6B68"/>
    <w:rsid w:val="000B44DF"/>
    <w:rsid w:val="000C43AC"/>
    <w:rsid w:val="000C54DC"/>
    <w:rsid w:val="000C5E99"/>
    <w:rsid w:val="000C6888"/>
    <w:rsid w:val="000D09A4"/>
    <w:rsid w:val="000D280D"/>
    <w:rsid w:val="000D6C09"/>
    <w:rsid w:val="000D7C6C"/>
    <w:rsid w:val="000E05AF"/>
    <w:rsid w:val="000E2700"/>
    <w:rsid w:val="000E2781"/>
    <w:rsid w:val="000E4E9D"/>
    <w:rsid w:val="000F0326"/>
    <w:rsid w:val="000F193A"/>
    <w:rsid w:val="000F2968"/>
    <w:rsid w:val="000F7BB2"/>
    <w:rsid w:val="00105058"/>
    <w:rsid w:val="0011454C"/>
    <w:rsid w:val="00122FEC"/>
    <w:rsid w:val="001370E5"/>
    <w:rsid w:val="00140F68"/>
    <w:rsid w:val="0014420F"/>
    <w:rsid w:val="00156063"/>
    <w:rsid w:val="00156C78"/>
    <w:rsid w:val="00160765"/>
    <w:rsid w:val="0016294B"/>
    <w:rsid w:val="001708AF"/>
    <w:rsid w:val="00176D8D"/>
    <w:rsid w:val="00184209"/>
    <w:rsid w:val="001978B5"/>
    <w:rsid w:val="00197F16"/>
    <w:rsid w:val="001A1F39"/>
    <w:rsid w:val="001A3D96"/>
    <w:rsid w:val="001B38E0"/>
    <w:rsid w:val="001B631F"/>
    <w:rsid w:val="001B7C4B"/>
    <w:rsid w:val="001C0844"/>
    <w:rsid w:val="001C0AA9"/>
    <w:rsid w:val="001C1691"/>
    <w:rsid w:val="001C439E"/>
    <w:rsid w:val="001D341D"/>
    <w:rsid w:val="001E5B24"/>
    <w:rsid w:val="001E6463"/>
    <w:rsid w:val="001F073A"/>
    <w:rsid w:val="002043D4"/>
    <w:rsid w:val="002057F5"/>
    <w:rsid w:val="0020760F"/>
    <w:rsid w:val="002240C5"/>
    <w:rsid w:val="002253AD"/>
    <w:rsid w:val="00232E37"/>
    <w:rsid w:val="00236E71"/>
    <w:rsid w:val="00247982"/>
    <w:rsid w:val="002479C3"/>
    <w:rsid w:val="00253AB1"/>
    <w:rsid w:val="002546E4"/>
    <w:rsid w:val="002727FC"/>
    <w:rsid w:val="00275588"/>
    <w:rsid w:val="00276041"/>
    <w:rsid w:val="00277E3C"/>
    <w:rsid w:val="002822BE"/>
    <w:rsid w:val="002867AA"/>
    <w:rsid w:val="00291FF2"/>
    <w:rsid w:val="00292FDE"/>
    <w:rsid w:val="002A0B53"/>
    <w:rsid w:val="002A1FCE"/>
    <w:rsid w:val="002A35AD"/>
    <w:rsid w:val="002A706E"/>
    <w:rsid w:val="002B3895"/>
    <w:rsid w:val="002C0592"/>
    <w:rsid w:val="002C3B24"/>
    <w:rsid w:val="002C3CEA"/>
    <w:rsid w:val="002D645D"/>
    <w:rsid w:val="002D6844"/>
    <w:rsid w:val="002D6F28"/>
    <w:rsid w:val="002D706D"/>
    <w:rsid w:val="002D7D6C"/>
    <w:rsid w:val="002F4B91"/>
    <w:rsid w:val="00301D04"/>
    <w:rsid w:val="003046FE"/>
    <w:rsid w:val="00307D64"/>
    <w:rsid w:val="00311AE9"/>
    <w:rsid w:val="0031358D"/>
    <w:rsid w:val="00313F0D"/>
    <w:rsid w:val="00314503"/>
    <w:rsid w:val="00323039"/>
    <w:rsid w:val="0032367E"/>
    <w:rsid w:val="00324199"/>
    <w:rsid w:val="003303D0"/>
    <w:rsid w:val="003332EE"/>
    <w:rsid w:val="00333CA0"/>
    <w:rsid w:val="003407A0"/>
    <w:rsid w:val="0034133B"/>
    <w:rsid w:val="00341B47"/>
    <w:rsid w:val="003549E8"/>
    <w:rsid w:val="00362477"/>
    <w:rsid w:val="00362E77"/>
    <w:rsid w:val="0036465A"/>
    <w:rsid w:val="003649DC"/>
    <w:rsid w:val="00365058"/>
    <w:rsid w:val="00366FB8"/>
    <w:rsid w:val="00367C94"/>
    <w:rsid w:val="003749BA"/>
    <w:rsid w:val="00383C74"/>
    <w:rsid w:val="00385E36"/>
    <w:rsid w:val="00394B4E"/>
    <w:rsid w:val="0039769C"/>
    <w:rsid w:val="00397E99"/>
    <w:rsid w:val="003A1D3D"/>
    <w:rsid w:val="003A42FD"/>
    <w:rsid w:val="003A48ED"/>
    <w:rsid w:val="003A5277"/>
    <w:rsid w:val="003A7842"/>
    <w:rsid w:val="003B6477"/>
    <w:rsid w:val="003C1C27"/>
    <w:rsid w:val="003D28E6"/>
    <w:rsid w:val="003E3EA1"/>
    <w:rsid w:val="003E4778"/>
    <w:rsid w:val="003F4FF2"/>
    <w:rsid w:val="003F50DC"/>
    <w:rsid w:val="003F5A2B"/>
    <w:rsid w:val="003F736D"/>
    <w:rsid w:val="004007EA"/>
    <w:rsid w:val="0040327D"/>
    <w:rsid w:val="00403A70"/>
    <w:rsid w:val="00405CE1"/>
    <w:rsid w:val="00405D5B"/>
    <w:rsid w:val="0042063F"/>
    <w:rsid w:val="00421E84"/>
    <w:rsid w:val="00424471"/>
    <w:rsid w:val="00425C0A"/>
    <w:rsid w:val="00427C4D"/>
    <w:rsid w:val="00430668"/>
    <w:rsid w:val="004331F0"/>
    <w:rsid w:val="00434B38"/>
    <w:rsid w:val="00434C76"/>
    <w:rsid w:val="00434FF0"/>
    <w:rsid w:val="00440702"/>
    <w:rsid w:val="004422FD"/>
    <w:rsid w:val="00445ABA"/>
    <w:rsid w:val="004463C0"/>
    <w:rsid w:val="00446DB7"/>
    <w:rsid w:val="00453CAD"/>
    <w:rsid w:val="00463FBE"/>
    <w:rsid w:val="00464386"/>
    <w:rsid w:val="00467449"/>
    <w:rsid w:val="004721A7"/>
    <w:rsid w:val="00494825"/>
    <w:rsid w:val="004A0189"/>
    <w:rsid w:val="004A494D"/>
    <w:rsid w:val="004A4CF2"/>
    <w:rsid w:val="004B301B"/>
    <w:rsid w:val="004B7D02"/>
    <w:rsid w:val="004C17F2"/>
    <w:rsid w:val="004C58B6"/>
    <w:rsid w:val="004C7C3F"/>
    <w:rsid w:val="004E22CD"/>
    <w:rsid w:val="004F4274"/>
    <w:rsid w:val="004F6C53"/>
    <w:rsid w:val="0050407E"/>
    <w:rsid w:val="00507920"/>
    <w:rsid w:val="0051067C"/>
    <w:rsid w:val="00510DB4"/>
    <w:rsid w:val="005211F3"/>
    <w:rsid w:val="00530C17"/>
    <w:rsid w:val="00532F3E"/>
    <w:rsid w:val="005351E4"/>
    <w:rsid w:val="00535300"/>
    <w:rsid w:val="00544BEB"/>
    <w:rsid w:val="0054788C"/>
    <w:rsid w:val="005528DF"/>
    <w:rsid w:val="00555AF3"/>
    <w:rsid w:val="00556F6B"/>
    <w:rsid w:val="00562360"/>
    <w:rsid w:val="00565B63"/>
    <w:rsid w:val="005751F3"/>
    <w:rsid w:val="0058692D"/>
    <w:rsid w:val="0059621D"/>
    <w:rsid w:val="005A3CDF"/>
    <w:rsid w:val="005A5363"/>
    <w:rsid w:val="005A56C2"/>
    <w:rsid w:val="005A7B72"/>
    <w:rsid w:val="005B2C1A"/>
    <w:rsid w:val="005B3512"/>
    <w:rsid w:val="005B5763"/>
    <w:rsid w:val="005B7A3B"/>
    <w:rsid w:val="005C01A5"/>
    <w:rsid w:val="005C1B9C"/>
    <w:rsid w:val="005C6585"/>
    <w:rsid w:val="005D0BAD"/>
    <w:rsid w:val="005D52C5"/>
    <w:rsid w:val="005D7D5D"/>
    <w:rsid w:val="005E0336"/>
    <w:rsid w:val="005E0740"/>
    <w:rsid w:val="005E51F4"/>
    <w:rsid w:val="005E7CA9"/>
    <w:rsid w:val="005F10D4"/>
    <w:rsid w:val="005F2B4D"/>
    <w:rsid w:val="005F418B"/>
    <w:rsid w:val="00602502"/>
    <w:rsid w:val="006027D9"/>
    <w:rsid w:val="006072B9"/>
    <w:rsid w:val="006136E2"/>
    <w:rsid w:val="006249A5"/>
    <w:rsid w:val="006258DE"/>
    <w:rsid w:val="00626E3A"/>
    <w:rsid w:val="00642A57"/>
    <w:rsid w:val="0064317C"/>
    <w:rsid w:val="00655FA5"/>
    <w:rsid w:val="0066016A"/>
    <w:rsid w:val="00663E37"/>
    <w:rsid w:val="00664AF5"/>
    <w:rsid w:val="0067692F"/>
    <w:rsid w:val="0068088B"/>
    <w:rsid w:val="00682175"/>
    <w:rsid w:val="00684849"/>
    <w:rsid w:val="00690928"/>
    <w:rsid w:val="0069412D"/>
    <w:rsid w:val="00696D3A"/>
    <w:rsid w:val="006A31CD"/>
    <w:rsid w:val="006A7672"/>
    <w:rsid w:val="006B03C0"/>
    <w:rsid w:val="006B1582"/>
    <w:rsid w:val="006B2D43"/>
    <w:rsid w:val="006B48BA"/>
    <w:rsid w:val="006B593D"/>
    <w:rsid w:val="006B59B0"/>
    <w:rsid w:val="006B6097"/>
    <w:rsid w:val="006C5AE5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E0F"/>
    <w:rsid w:val="00705356"/>
    <w:rsid w:val="00707501"/>
    <w:rsid w:val="00715269"/>
    <w:rsid w:val="007203F3"/>
    <w:rsid w:val="00726B13"/>
    <w:rsid w:val="00731D5D"/>
    <w:rsid w:val="007411AC"/>
    <w:rsid w:val="00747D2A"/>
    <w:rsid w:val="00750168"/>
    <w:rsid w:val="00750417"/>
    <w:rsid w:val="0075237D"/>
    <w:rsid w:val="00762670"/>
    <w:rsid w:val="00767999"/>
    <w:rsid w:val="007701D2"/>
    <w:rsid w:val="00772D58"/>
    <w:rsid w:val="00783550"/>
    <w:rsid w:val="007861DC"/>
    <w:rsid w:val="00787FA8"/>
    <w:rsid w:val="007A282B"/>
    <w:rsid w:val="007B337B"/>
    <w:rsid w:val="007B4479"/>
    <w:rsid w:val="007B51E9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7F64"/>
    <w:rsid w:val="008113D2"/>
    <w:rsid w:val="008136CA"/>
    <w:rsid w:val="008148B1"/>
    <w:rsid w:val="00821A26"/>
    <w:rsid w:val="00824075"/>
    <w:rsid w:val="0082625F"/>
    <w:rsid w:val="00826AB6"/>
    <w:rsid w:val="0083404D"/>
    <w:rsid w:val="008354D6"/>
    <w:rsid w:val="0083580C"/>
    <w:rsid w:val="008420AA"/>
    <w:rsid w:val="00842FBB"/>
    <w:rsid w:val="00865AE0"/>
    <w:rsid w:val="00871207"/>
    <w:rsid w:val="00872812"/>
    <w:rsid w:val="00873F65"/>
    <w:rsid w:val="00877F6E"/>
    <w:rsid w:val="00880896"/>
    <w:rsid w:val="00881540"/>
    <w:rsid w:val="00886535"/>
    <w:rsid w:val="00893C48"/>
    <w:rsid w:val="00895622"/>
    <w:rsid w:val="00895E0A"/>
    <w:rsid w:val="008973A3"/>
    <w:rsid w:val="008A1141"/>
    <w:rsid w:val="008A3C86"/>
    <w:rsid w:val="008A58F5"/>
    <w:rsid w:val="008A5C5D"/>
    <w:rsid w:val="008A6B1A"/>
    <w:rsid w:val="008C1171"/>
    <w:rsid w:val="008C1CC9"/>
    <w:rsid w:val="008C4640"/>
    <w:rsid w:val="008C65D4"/>
    <w:rsid w:val="008D0E50"/>
    <w:rsid w:val="008D46E2"/>
    <w:rsid w:val="008D79D9"/>
    <w:rsid w:val="008E0C27"/>
    <w:rsid w:val="008F1B25"/>
    <w:rsid w:val="008F276B"/>
    <w:rsid w:val="008F4B23"/>
    <w:rsid w:val="008F6DBE"/>
    <w:rsid w:val="00900899"/>
    <w:rsid w:val="00902373"/>
    <w:rsid w:val="00902FF4"/>
    <w:rsid w:val="0090420D"/>
    <w:rsid w:val="009064FB"/>
    <w:rsid w:val="00926302"/>
    <w:rsid w:val="00931FA7"/>
    <w:rsid w:val="00935116"/>
    <w:rsid w:val="0093521E"/>
    <w:rsid w:val="00935DC0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81D3E"/>
    <w:rsid w:val="009828D4"/>
    <w:rsid w:val="009843B2"/>
    <w:rsid w:val="00985D02"/>
    <w:rsid w:val="0099644E"/>
    <w:rsid w:val="009A737A"/>
    <w:rsid w:val="009B1E92"/>
    <w:rsid w:val="009B4E67"/>
    <w:rsid w:val="009C192E"/>
    <w:rsid w:val="009C5D6B"/>
    <w:rsid w:val="009C5F0F"/>
    <w:rsid w:val="009D39BE"/>
    <w:rsid w:val="009D6249"/>
    <w:rsid w:val="009E36A6"/>
    <w:rsid w:val="009F0275"/>
    <w:rsid w:val="00A07C48"/>
    <w:rsid w:val="00A21932"/>
    <w:rsid w:val="00A33825"/>
    <w:rsid w:val="00A354C5"/>
    <w:rsid w:val="00A43166"/>
    <w:rsid w:val="00A45C61"/>
    <w:rsid w:val="00A45E15"/>
    <w:rsid w:val="00A4757E"/>
    <w:rsid w:val="00A50B0A"/>
    <w:rsid w:val="00A5325D"/>
    <w:rsid w:val="00A55384"/>
    <w:rsid w:val="00A56BA0"/>
    <w:rsid w:val="00A56F6D"/>
    <w:rsid w:val="00A577F6"/>
    <w:rsid w:val="00A61B2B"/>
    <w:rsid w:val="00A63EBF"/>
    <w:rsid w:val="00A70311"/>
    <w:rsid w:val="00A775C5"/>
    <w:rsid w:val="00A83432"/>
    <w:rsid w:val="00A834F7"/>
    <w:rsid w:val="00A86325"/>
    <w:rsid w:val="00A92F92"/>
    <w:rsid w:val="00A9358C"/>
    <w:rsid w:val="00A959EF"/>
    <w:rsid w:val="00AA2513"/>
    <w:rsid w:val="00AA4B4F"/>
    <w:rsid w:val="00AA660A"/>
    <w:rsid w:val="00AA6CD3"/>
    <w:rsid w:val="00AB1893"/>
    <w:rsid w:val="00AB620F"/>
    <w:rsid w:val="00AC12CB"/>
    <w:rsid w:val="00AC1DD3"/>
    <w:rsid w:val="00AC5F80"/>
    <w:rsid w:val="00AD1DFE"/>
    <w:rsid w:val="00AD5633"/>
    <w:rsid w:val="00AE18A8"/>
    <w:rsid w:val="00AE3577"/>
    <w:rsid w:val="00AE71A9"/>
    <w:rsid w:val="00AF164A"/>
    <w:rsid w:val="00B058C5"/>
    <w:rsid w:val="00B0736F"/>
    <w:rsid w:val="00B23393"/>
    <w:rsid w:val="00B25AD5"/>
    <w:rsid w:val="00B30C49"/>
    <w:rsid w:val="00B36469"/>
    <w:rsid w:val="00B44E8D"/>
    <w:rsid w:val="00B50E64"/>
    <w:rsid w:val="00B565D0"/>
    <w:rsid w:val="00B56FBA"/>
    <w:rsid w:val="00B60A24"/>
    <w:rsid w:val="00B61652"/>
    <w:rsid w:val="00B62370"/>
    <w:rsid w:val="00B63D55"/>
    <w:rsid w:val="00B64200"/>
    <w:rsid w:val="00B6609D"/>
    <w:rsid w:val="00B710C6"/>
    <w:rsid w:val="00B72F1C"/>
    <w:rsid w:val="00B746D7"/>
    <w:rsid w:val="00B76A6F"/>
    <w:rsid w:val="00B8575C"/>
    <w:rsid w:val="00B87602"/>
    <w:rsid w:val="00B90190"/>
    <w:rsid w:val="00B908C1"/>
    <w:rsid w:val="00B92804"/>
    <w:rsid w:val="00B94C9A"/>
    <w:rsid w:val="00B95198"/>
    <w:rsid w:val="00B97B4E"/>
    <w:rsid w:val="00BA2FDF"/>
    <w:rsid w:val="00BA30E6"/>
    <w:rsid w:val="00BB1C41"/>
    <w:rsid w:val="00BB39ED"/>
    <w:rsid w:val="00BB610B"/>
    <w:rsid w:val="00BB744E"/>
    <w:rsid w:val="00BC3954"/>
    <w:rsid w:val="00BC3A72"/>
    <w:rsid w:val="00BC7E61"/>
    <w:rsid w:val="00BD158E"/>
    <w:rsid w:val="00BD1870"/>
    <w:rsid w:val="00BD53B2"/>
    <w:rsid w:val="00BE39BB"/>
    <w:rsid w:val="00BE6254"/>
    <w:rsid w:val="00BF11D7"/>
    <w:rsid w:val="00BF2B8C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6F82"/>
    <w:rsid w:val="00C309D9"/>
    <w:rsid w:val="00C32DBD"/>
    <w:rsid w:val="00C371DB"/>
    <w:rsid w:val="00C41730"/>
    <w:rsid w:val="00C43E51"/>
    <w:rsid w:val="00C51793"/>
    <w:rsid w:val="00C51CFF"/>
    <w:rsid w:val="00C54E10"/>
    <w:rsid w:val="00C66E64"/>
    <w:rsid w:val="00C74EA6"/>
    <w:rsid w:val="00C7516E"/>
    <w:rsid w:val="00C83728"/>
    <w:rsid w:val="00C87493"/>
    <w:rsid w:val="00C91141"/>
    <w:rsid w:val="00C95578"/>
    <w:rsid w:val="00C95A14"/>
    <w:rsid w:val="00C95AF5"/>
    <w:rsid w:val="00CA1A8A"/>
    <w:rsid w:val="00CA41B7"/>
    <w:rsid w:val="00CA42A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F1749"/>
    <w:rsid w:val="00CF1847"/>
    <w:rsid w:val="00CF5DCA"/>
    <w:rsid w:val="00CF6332"/>
    <w:rsid w:val="00CF6701"/>
    <w:rsid w:val="00D02731"/>
    <w:rsid w:val="00D075CC"/>
    <w:rsid w:val="00D075D6"/>
    <w:rsid w:val="00D1013D"/>
    <w:rsid w:val="00D11D73"/>
    <w:rsid w:val="00D209F5"/>
    <w:rsid w:val="00D23B0C"/>
    <w:rsid w:val="00D24F9B"/>
    <w:rsid w:val="00D2630E"/>
    <w:rsid w:val="00D2767E"/>
    <w:rsid w:val="00D31119"/>
    <w:rsid w:val="00D31A9F"/>
    <w:rsid w:val="00D34852"/>
    <w:rsid w:val="00D36CE4"/>
    <w:rsid w:val="00D44D62"/>
    <w:rsid w:val="00D47879"/>
    <w:rsid w:val="00D510B3"/>
    <w:rsid w:val="00D63575"/>
    <w:rsid w:val="00D6697D"/>
    <w:rsid w:val="00D74885"/>
    <w:rsid w:val="00D92EFA"/>
    <w:rsid w:val="00D9381A"/>
    <w:rsid w:val="00D94099"/>
    <w:rsid w:val="00D94AA4"/>
    <w:rsid w:val="00DA3484"/>
    <w:rsid w:val="00DB69C7"/>
    <w:rsid w:val="00DC16F1"/>
    <w:rsid w:val="00DC4D8F"/>
    <w:rsid w:val="00DC5BD7"/>
    <w:rsid w:val="00DF1590"/>
    <w:rsid w:val="00DF41F3"/>
    <w:rsid w:val="00DF6C3C"/>
    <w:rsid w:val="00E02921"/>
    <w:rsid w:val="00E04C07"/>
    <w:rsid w:val="00E10579"/>
    <w:rsid w:val="00E11E67"/>
    <w:rsid w:val="00E13C15"/>
    <w:rsid w:val="00E145FF"/>
    <w:rsid w:val="00E15ADE"/>
    <w:rsid w:val="00E171F3"/>
    <w:rsid w:val="00E23574"/>
    <w:rsid w:val="00E34689"/>
    <w:rsid w:val="00E42DCC"/>
    <w:rsid w:val="00E560D3"/>
    <w:rsid w:val="00E563C1"/>
    <w:rsid w:val="00E63378"/>
    <w:rsid w:val="00E66278"/>
    <w:rsid w:val="00E73ED4"/>
    <w:rsid w:val="00E73EE4"/>
    <w:rsid w:val="00E7574C"/>
    <w:rsid w:val="00E96EB0"/>
    <w:rsid w:val="00EA02B8"/>
    <w:rsid w:val="00EB6DBC"/>
    <w:rsid w:val="00EE005A"/>
    <w:rsid w:val="00EE17D7"/>
    <w:rsid w:val="00EE371E"/>
    <w:rsid w:val="00EF4C78"/>
    <w:rsid w:val="00EF5AF2"/>
    <w:rsid w:val="00EF5F91"/>
    <w:rsid w:val="00F00B92"/>
    <w:rsid w:val="00F032CC"/>
    <w:rsid w:val="00F06880"/>
    <w:rsid w:val="00F07896"/>
    <w:rsid w:val="00F116CF"/>
    <w:rsid w:val="00F15981"/>
    <w:rsid w:val="00F203C6"/>
    <w:rsid w:val="00F21D45"/>
    <w:rsid w:val="00F23064"/>
    <w:rsid w:val="00F3391E"/>
    <w:rsid w:val="00F45A67"/>
    <w:rsid w:val="00F50708"/>
    <w:rsid w:val="00F50F93"/>
    <w:rsid w:val="00F51E17"/>
    <w:rsid w:val="00F6133C"/>
    <w:rsid w:val="00F62885"/>
    <w:rsid w:val="00F72B7C"/>
    <w:rsid w:val="00F81E7F"/>
    <w:rsid w:val="00F84060"/>
    <w:rsid w:val="00F86A42"/>
    <w:rsid w:val="00F90F81"/>
    <w:rsid w:val="00F92BB3"/>
    <w:rsid w:val="00F94139"/>
    <w:rsid w:val="00FA4EF9"/>
    <w:rsid w:val="00FB4BCC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1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37B-5F8D-4D22-A63B-FBC88FA8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Trelenik</cp:lastModifiedBy>
  <cp:revision>2</cp:revision>
  <dcterms:created xsi:type="dcterms:W3CDTF">2015-10-13T23:29:00Z</dcterms:created>
  <dcterms:modified xsi:type="dcterms:W3CDTF">2015-10-15T04:40:00Z</dcterms:modified>
</cp:coreProperties>
</file>